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2" w:rsidRDefault="00256652" w:rsidP="0032580E">
      <w:pPr>
        <w:jc w:val="right"/>
        <w:rPr>
          <w:i/>
          <w:sz w:val="24"/>
          <w:szCs w:val="24"/>
        </w:rPr>
      </w:pPr>
      <w:r w:rsidRPr="00FD31DE">
        <w:rPr>
          <w:i/>
          <w:sz w:val="24"/>
          <w:szCs w:val="24"/>
        </w:rPr>
        <w:t>Proiect</w:t>
      </w:r>
    </w:p>
    <w:p w:rsidR="00FD31DE" w:rsidRPr="00FD31DE" w:rsidRDefault="00FD31DE" w:rsidP="0032580E">
      <w:pPr>
        <w:jc w:val="right"/>
        <w:rPr>
          <w:i/>
          <w:sz w:val="24"/>
          <w:szCs w:val="24"/>
        </w:rPr>
      </w:pPr>
    </w:p>
    <w:p w:rsidR="00256652" w:rsidRPr="00EA5925" w:rsidRDefault="00256652" w:rsidP="0087280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CONSILIUL RAIONAL UNGHENI</w:t>
      </w:r>
    </w:p>
    <w:p w:rsidR="00EA5925" w:rsidRPr="00EA5925" w:rsidRDefault="00EA5925" w:rsidP="00872803">
      <w:pPr>
        <w:jc w:val="center"/>
        <w:rPr>
          <w:b/>
          <w:sz w:val="22"/>
          <w:szCs w:val="22"/>
          <w:lang w:val="en-US"/>
        </w:rPr>
      </w:pPr>
    </w:p>
    <w:p w:rsidR="00256652" w:rsidRDefault="00256652" w:rsidP="008728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DECIZIE</w:t>
      </w:r>
    </w:p>
    <w:p w:rsidR="00256652" w:rsidRPr="00F626EC" w:rsidRDefault="009522EE" w:rsidP="0032580E">
      <w:pPr>
        <w:rPr>
          <w:i/>
          <w:sz w:val="24"/>
          <w:szCs w:val="24"/>
        </w:rPr>
      </w:pPr>
      <w:r w:rsidRPr="00F626EC">
        <w:rPr>
          <w:i/>
          <w:sz w:val="24"/>
          <w:szCs w:val="24"/>
        </w:rPr>
        <w:t>N</w:t>
      </w:r>
      <w:r w:rsidR="00256652" w:rsidRPr="00F626EC">
        <w:rPr>
          <w:i/>
          <w:sz w:val="24"/>
          <w:szCs w:val="24"/>
        </w:rPr>
        <w:t>r.</w:t>
      </w:r>
      <w:r w:rsidR="00256652" w:rsidRPr="00F626EC">
        <w:rPr>
          <w:i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="00256652" w:rsidRPr="00F626EC">
        <w:rPr>
          <w:i/>
          <w:sz w:val="24"/>
          <w:szCs w:val="24"/>
        </w:rPr>
        <w:t xml:space="preserve"> </w:t>
      </w:r>
      <w:r w:rsidR="00F626EC">
        <w:rPr>
          <w:i/>
          <w:sz w:val="24"/>
          <w:szCs w:val="24"/>
        </w:rPr>
        <w:t xml:space="preserve">        </w:t>
      </w:r>
      <w:r w:rsidR="00256652" w:rsidRPr="00F626EC">
        <w:rPr>
          <w:i/>
          <w:sz w:val="24"/>
          <w:szCs w:val="24"/>
        </w:rPr>
        <w:t>din</w:t>
      </w:r>
      <w:r w:rsidR="00256652" w:rsidRPr="00F626EC">
        <w:rPr>
          <w:i/>
          <w:sz w:val="24"/>
          <w:szCs w:val="24"/>
          <w:lang w:val="en-US"/>
        </w:rPr>
        <w:t xml:space="preserve"> ___________</w:t>
      </w:r>
      <w:r w:rsidR="00256652" w:rsidRPr="00F626EC">
        <w:rPr>
          <w:i/>
          <w:sz w:val="24"/>
          <w:szCs w:val="24"/>
        </w:rPr>
        <w:t>202</w:t>
      </w:r>
      <w:r w:rsidR="00076FD9">
        <w:rPr>
          <w:i/>
          <w:sz w:val="24"/>
          <w:szCs w:val="24"/>
        </w:rPr>
        <w:t>4</w:t>
      </w:r>
    </w:p>
    <w:p w:rsidR="00256652" w:rsidRDefault="00256652" w:rsidP="0032580E">
      <w:pPr>
        <w:rPr>
          <w:b/>
          <w:bCs/>
          <w:i/>
          <w:sz w:val="24"/>
          <w:szCs w:val="24"/>
        </w:rPr>
      </w:pPr>
    </w:p>
    <w:p w:rsidR="00F626EC" w:rsidRDefault="00F626EC" w:rsidP="0032580E">
      <w:pPr>
        <w:pStyle w:val="Titlu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acceptarea primirii </w:t>
      </w:r>
      <w:r w:rsidR="00210CBE">
        <w:rPr>
          <w:rFonts w:ascii="Times New Roman" w:hAnsi="Times New Roman"/>
          <w:b w:val="0"/>
          <w:i/>
        </w:rPr>
        <w:t xml:space="preserve">bunurilor </w:t>
      </w:r>
      <w:r>
        <w:rPr>
          <w:rFonts w:ascii="Times New Roman" w:hAnsi="Times New Roman"/>
          <w:b w:val="0"/>
          <w:i/>
        </w:rPr>
        <w:t>în proprietate</w:t>
      </w:r>
    </w:p>
    <w:p w:rsidR="00F626EC" w:rsidRPr="004D4D8C" w:rsidRDefault="00F626EC" w:rsidP="0032580E">
      <w:pPr>
        <w:pStyle w:val="Titlu"/>
        <w:jc w:val="left"/>
      </w:pPr>
      <w:r>
        <w:rPr>
          <w:rFonts w:ascii="Times New Roman" w:hAnsi="Times New Roman"/>
          <w:b w:val="0"/>
          <w:i/>
        </w:rPr>
        <w:t xml:space="preserve">publică a raionului Ungheni </w:t>
      </w:r>
    </w:p>
    <w:p w:rsidR="00256652" w:rsidRDefault="00256652" w:rsidP="0032580E">
      <w:pPr>
        <w:tabs>
          <w:tab w:val="left" w:pos="9214"/>
        </w:tabs>
        <w:rPr>
          <w:i/>
          <w:sz w:val="24"/>
          <w:szCs w:val="24"/>
        </w:rPr>
      </w:pPr>
    </w:p>
    <w:p w:rsidR="00F626EC" w:rsidRPr="003F3D24" w:rsidRDefault="00256652" w:rsidP="0032580E">
      <w:pPr>
        <w:rPr>
          <w:rFonts w:ascii="Monotype Corsiva" w:hAnsi="Monotype Corsiva"/>
          <w:sz w:val="24"/>
          <w:szCs w:val="24"/>
        </w:rPr>
      </w:pPr>
      <w:r w:rsidRPr="00C6093F">
        <w:rPr>
          <w:rFonts w:ascii="Monotype Corsiva" w:hAnsi="Monotype Corsiva"/>
          <w:sz w:val="24"/>
          <w:szCs w:val="24"/>
        </w:rPr>
        <w:t xml:space="preserve"> </w:t>
      </w:r>
      <w:r w:rsidR="00FB1FBC" w:rsidRPr="00C6093F">
        <w:rPr>
          <w:rFonts w:ascii="Monotype Corsiva" w:hAnsi="Monotype Corsiva"/>
          <w:sz w:val="24"/>
          <w:szCs w:val="24"/>
        </w:rPr>
        <w:t xml:space="preserve">   </w:t>
      </w:r>
      <w:r w:rsidR="00F626EC" w:rsidRPr="003F3D24">
        <w:rPr>
          <w:rFonts w:ascii="Monotype Corsiva" w:hAnsi="Monotype Corsiva"/>
          <w:sz w:val="24"/>
          <w:szCs w:val="24"/>
        </w:rPr>
        <w:t xml:space="preserve">În temeiul art. 43 </w:t>
      </w:r>
      <w:r w:rsidR="0023099F" w:rsidRPr="003F3D24">
        <w:rPr>
          <w:rFonts w:ascii="Monotype Corsiva" w:hAnsi="Monotype Corsiva"/>
          <w:sz w:val="24"/>
          <w:szCs w:val="24"/>
        </w:rPr>
        <w:t xml:space="preserve">alin. 1) lit. c), </w:t>
      </w:r>
      <w:r w:rsidR="00F626EC" w:rsidRPr="003F3D24">
        <w:rPr>
          <w:rFonts w:ascii="Monotype Corsiva" w:hAnsi="Monotype Corsiva"/>
          <w:sz w:val="24"/>
          <w:szCs w:val="24"/>
        </w:rPr>
        <w:t>alin. 2) al Legii privind administra</w:t>
      </w:r>
      <w:r w:rsidR="00F626EC" w:rsidRPr="003F3D24">
        <w:rPr>
          <w:sz w:val="24"/>
          <w:szCs w:val="24"/>
        </w:rPr>
        <w:t>ț</w:t>
      </w:r>
      <w:r w:rsidR="0023099F" w:rsidRPr="003F3D24">
        <w:rPr>
          <w:rFonts w:ascii="Monotype Corsiva" w:hAnsi="Monotype Corsiva"/>
          <w:sz w:val="24"/>
          <w:szCs w:val="24"/>
        </w:rPr>
        <w:t>ia publică locală Nr.436/</w:t>
      </w:r>
      <w:r w:rsidR="00F626EC" w:rsidRPr="003F3D24">
        <w:rPr>
          <w:rFonts w:ascii="Monotype Corsiva" w:hAnsi="Monotype Corsiva"/>
          <w:sz w:val="24"/>
          <w:szCs w:val="24"/>
        </w:rPr>
        <w:t xml:space="preserve">2006; </w:t>
      </w:r>
    </w:p>
    <w:p w:rsidR="00F626EC" w:rsidRPr="003F3D24" w:rsidRDefault="00F626EC" w:rsidP="0032580E">
      <w:pPr>
        <w:rPr>
          <w:rFonts w:ascii="Monotype Corsiva" w:hAnsi="Monotype Corsiva"/>
          <w:sz w:val="24"/>
          <w:szCs w:val="24"/>
        </w:rPr>
      </w:pPr>
      <w:r w:rsidRPr="003F3D24">
        <w:rPr>
          <w:rFonts w:ascii="Monotype Corsiva" w:hAnsi="Monotype Corsiva"/>
          <w:sz w:val="24"/>
          <w:szCs w:val="24"/>
        </w:rPr>
        <w:t>art. 5</w:t>
      </w:r>
      <w:r w:rsidR="00FB1FBC" w:rsidRPr="003F3D24">
        <w:rPr>
          <w:rFonts w:ascii="Monotype Corsiva" w:hAnsi="Monotype Corsiva"/>
          <w:sz w:val="24"/>
          <w:szCs w:val="24"/>
        </w:rPr>
        <w:t xml:space="preserve">, </w:t>
      </w:r>
      <w:r w:rsidRPr="003F3D24">
        <w:rPr>
          <w:rFonts w:ascii="Monotype Corsiva" w:hAnsi="Monotype Corsiva"/>
          <w:sz w:val="24"/>
          <w:szCs w:val="24"/>
        </w:rPr>
        <w:t xml:space="preserve">art. 6 alin. 1) lit. a) al Legii privind administrarea şi </w:t>
      </w:r>
      <w:proofErr w:type="spellStart"/>
      <w:r w:rsidRPr="003F3D24">
        <w:rPr>
          <w:rFonts w:ascii="Monotype Corsiva" w:hAnsi="Monotype Corsiva"/>
          <w:sz w:val="24"/>
          <w:szCs w:val="24"/>
        </w:rPr>
        <w:t>deetatizarea</w:t>
      </w:r>
      <w:proofErr w:type="spellEnd"/>
      <w:r w:rsidRPr="003F3D24">
        <w:rPr>
          <w:rFonts w:ascii="Monotype Corsiva" w:hAnsi="Monotype Corsiva"/>
          <w:sz w:val="24"/>
          <w:szCs w:val="24"/>
        </w:rPr>
        <w:t xml:space="preserve"> proprietăţii publice</w:t>
      </w:r>
      <w:r w:rsidR="006D3BAE" w:rsidRPr="003F3D24">
        <w:rPr>
          <w:rFonts w:ascii="Monotype Corsiva" w:hAnsi="Monotype Corsiva"/>
          <w:sz w:val="24"/>
          <w:szCs w:val="24"/>
        </w:rPr>
        <w:t xml:space="preserve"> </w:t>
      </w:r>
      <w:r w:rsidR="0023099F" w:rsidRPr="003F3D24">
        <w:rPr>
          <w:rFonts w:ascii="Monotype Corsiva" w:hAnsi="Monotype Corsiva"/>
          <w:sz w:val="24"/>
          <w:szCs w:val="24"/>
        </w:rPr>
        <w:t>Nr. 121/2</w:t>
      </w:r>
      <w:r w:rsidR="006D3BAE" w:rsidRPr="003F3D24">
        <w:rPr>
          <w:rFonts w:ascii="Monotype Corsiva" w:hAnsi="Monotype Corsiva"/>
          <w:sz w:val="24"/>
          <w:szCs w:val="24"/>
        </w:rPr>
        <w:t>007</w:t>
      </w:r>
      <w:r w:rsidRPr="003F3D24">
        <w:rPr>
          <w:rFonts w:ascii="Monotype Corsiva" w:hAnsi="Monotype Corsiva"/>
          <w:sz w:val="24"/>
          <w:szCs w:val="24"/>
        </w:rPr>
        <w:t>;</w:t>
      </w:r>
    </w:p>
    <w:p w:rsidR="00F626EC" w:rsidRPr="003F3D24" w:rsidRDefault="00F626EC" w:rsidP="0032580E">
      <w:pPr>
        <w:rPr>
          <w:rFonts w:ascii="Monotype Corsiva" w:hAnsi="Monotype Corsiva"/>
          <w:sz w:val="24"/>
          <w:szCs w:val="24"/>
        </w:rPr>
      </w:pPr>
      <w:r w:rsidRPr="003F3D24">
        <w:rPr>
          <w:rFonts w:ascii="Monotype Corsiva" w:hAnsi="Monotype Corsiva"/>
          <w:sz w:val="24"/>
          <w:szCs w:val="24"/>
        </w:rPr>
        <w:t>art. 8 alin. 2) al Legii privind proprietatea publică a unită</w:t>
      </w:r>
      <w:r w:rsidRPr="003F3D24">
        <w:rPr>
          <w:sz w:val="24"/>
          <w:szCs w:val="24"/>
        </w:rPr>
        <w:t>ț</w:t>
      </w:r>
      <w:r w:rsidRPr="003F3D24">
        <w:rPr>
          <w:rFonts w:ascii="Monotype Corsiva" w:hAnsi="Monotype Corsiva"/>
          <w:sz w:val="24"/>
          <w:szCs w:val="24"/>
        </w:rPr>
        <w:t>ilor administrativ</w:t>
      </w:r>
      <w:r w:rsidR="00ED7FA3" w:rsidRPr="003F3D24">
        <w:rPr>
          <w:rFonts w:ascii="Monotype Corsiva" w:hAnsi="Monotype Corsiva"/>
          <w:sz w:val="24"/>
          <w:szCs w:val="24"/>
        </w:rPr>
        <w:t xml:space="preserve"> </w:t>
      </w:r>
      <w:r w:rsidR="0023099F" w:rsidRPr="003F3D24">
        <w:rPr>
          <w:rFonts w:ascii="Monotype Corsiva" w:hAnsi="Monotype Corsiva"/>
          <w:sz w:val="24"/>
          <w:szCs w:val="24"/>
        </w:rPr>
        <w:t>- teritoriale Nr. 523/</w:t>
      </w:r>
      <w:r w:rsidRPr="003F3D24">
        <w:rPr>
          <w:rFonts w:ascii="Monotype Corsiva" w:hAnsi="Monotype Corsiva"/>
          <w:sz w:val="24"/>
          <w:szCs w:val="24"/>
        </w:rPr>
        <w:t>1999;</w:t>
      </w:r>
    </w:p>
    <w:p w:rsidR="00FB1FBC" w:rsidRPr="003F3D24" w:rsidRDefault="00FB1FBC" w:rsidP="0032580E">
      <w:pPr>
        <w:rPr>
          <w:rFonts w:ascii="Monotype Corsiva" w:hAnsi="Monotype Corsiva"/>
          <w:sz w:val="24"/>
          <w:szCs w:val="24"/>
        </w:rPr>
      </w:pPr>
      <w:r w:rsidRPr="003F3D24">
        <w:rPr>
          <w:rFonts w:ascii="Monotype Corsiva" w:hAnsi="Monotype Corsiva"/>
          <w:sz w:val="24"/>
          <w:szCs w:val="24"/>
        </w:rPr>
        <w:t xml:space="preserve">conform prevederilor </w:t>
      </w:r>
      <w:r w:rsidR="003A4A87" w:rsidRPr="003F3D24">
        <w:rPr>
          <w:rFonts w:ascii="Monotype Corsiva" w:hAnsi="Monotype Corsiva"/>
          <w:sz w:val="24"/>
          <w:szCs w:val="24"/>
        </w:rPr>
        <w:t xml:space="preserve">pct. 1 </w:t>
      </w:r>
      <w:proofErr w:type="spellStart"/>
      <w:r w:rsidR="003A4A87" w:rsidRPr="003F3D24">
        <w:rPr>
          <w:rFonts w:ascii="Monotype Corsiva" w:hAnsi="Monotype Corsiva"/>
          <w:sz w:val="24"/>
          <w:szCs w:val="24"/>
        </w:rPr>
        <w:t>sbpct.</w:t>
      </w:r>
      <w:r w:rsidR="00A46606" w:rsidRPr="003F3D24">
        <w:rPr>
          <w:rFonts w:ascii="Monotype Corsiva" w:hAnsi="Monotype Corsiva"/>
          <w:sz w:val="24"/>
          <w:szCs w:val="24"/>
        </w:rPr>
        <w:t>sbpct</w:t>
      </w:r>
      <w:proofErr w:type="spellEnd"/>
      <w:r w:rsidR="00A46606" w:rsidRPr="003F3D24">
        <w:rPr>
          <w:rFonts w:ascii="Monotype Corsiva" w:hAnsi="Monotype Corsiva"/>
          <w:sz w:val="24"/>
          <w:szCs w:val="24"/>
        </w:rPr>
        <w:t>. 1-</w:t>
      </w:r>
      <w:r w:rsidR="003A4A87" w:rsidRPr="003F3D24">
        <w:rPr>
          <w:rFonts w:ascii="Monotype Corsiva" w:hAnsi="Monotype Corsiva"/>
          <w:sz w:val="24"/>
          <w:szCs w:val="24"/>
        </w:rPr>
        <w:t xml:space="preserve">3), </w:t>
      </w:r>
      <w:r w:rsidRPr="003F3D24">
        <w:rPr>
          <w:rFonts w:ascii="Monotype Corsiva" w:hAnsi="Monotype Corsiva"/>
          <w:sz w:val="24"/>
          <w:szCs w:val="24"/>
        </w:rPr>
        <w:t xml:space="preserve">pct. 10 </w:t>
      </w:r>
      <w:proofErr w:type="spellStart"/>
      <w:r w:rsidRPr="003F3D24">
        <w:rPr>
          <w:rFonts w:ascii="Monotype Corsiva" w:hAnsi="Monotype Corsiva"/>
          <w:sz w:val="24"/>
          <w:szCs w:val="24"/>
        </w:rPr>
        <w:t>sbpct</w:t>
      </w:r>
      <w:proofErr w:type="spellEnd"/>
      <w:r w:rsidRPr="003F3D24">
        <w:rPr>
          <w:rFonts w:ascii="Monotype Corsiva" w:hAnsi="Monotype Corsiva"/>
          <w:sz w:val="24"/>
          <w:szCs w:val="24"/>
        </w:rPr>
        <w:t>. 1)</w:t>
      </w:r>
      <w:r w:rsidR="00C801BF" w:rsidRPr="003F3D24">
        <w:rPr>
          <w:rFonts w:ascii="Monotype Corsiva" w:hAnsi="Monotype Corsiva"/>
          <w:sz w:val="24"/>
          <w:szCs w:val="24"/>
        </w:rPr>
        <w:t xml:space="preserve"> lit. b)</w:t>
      </w:r>
      <w:r w:rsidR="00A46606" w:rsidRPr="003F3D24">
        <w:rPr>
          <w:rFonts w:ascii="Monotype Corsiva" w:hAnsi="Monotype Corsiva"/>
          <w:sz w:val="24"/>
          <w:szCs w:val="24"/>
        </w:rPr>
        <w:t xml:space="preserve">, </w:t>
      </w:r>
      <w:proofErr w:type="spellStart"/>
      <w:r w:rsidR="00A46606" w:rsidRPr="003F3D24">
        <w:rPr>
          <w:rFonts w:ascii="Monotype Corsiva" w:hAnsi="Monotype Corsiva"/>
          <w:sz w:val="24"/>
          <w:szCs w:val="24"/>
        </w:rPr>
        <w:t>sbpct</w:t>
      </w:r>
      <w:proofErr w:type="spellEnd"/>
      <w:r w:rsidR="00A46606" w:rsidRPr="003F3D24">
        <w:rPr>
          <w:rFonts w:ascii="Monotype Corsiva" w:hAnsi="Monotype Corsiva"/>
          <w:sz w:val="24"/>
          <w:szCs w:val="24"/>
        </w:rPr>
        <w:t>. 3) lit. c</w:t>
      </w:r>
      <w:r w:rsidR="00C801BF" w:rsidRPr="003F3D24">
        <w:rPr>
          <w:rFonts w:ascii="Monotype Corsiva" w:hAnsi="Monotype Corsiva"/>
          <w:sz w:val="24"/>
          <w:szCs w:val="24"/>
        </w:rPr>
        <w:t>)</w:t>
      </w:r>
      <w:r w:rsidR="00A2558A" w:rsidRPr="003F3D24">
        <w:rPr>
          <w:rFonts w:ascii="Monotype Corsiva" w:hAnsi="Monotype Corsiva"/>
          <w:sz w:val="24"/>
          <w:szCs w:val="24"/>
        </w:rPr>
        <w:t xml:space="preserve">, </w:t>
      </w:r>
      <w:proofErr w:type="spellStart"/>
      <w:r w:rsidR="00A2558A" w:rsidRPr="003F3D24">
        <w:rPr>
          <w:rFonts w:ascii="Monotype Corsiva" w:hAnsi="Monotype Corsiva"/>
          <w:sz w:val="24"/>
          <w:szCs w:val="24"/>
        </w:rPr>
        <w:t>pct.pct</w:t>
      </w:r>
      <w:proofErr w:type="spellEnd"/>
      <w:r w:rsidR="00A2558A" w:rsidRPr="003F3D24">
        <w:rPr>
          <w:rFonts w:ascii="Monotype Corsiva" w:hAnsi="Monotype Corsiva"/>
          <w:sz w:val="24"/>
          <w:szCs w:val="24"/>
        </w:rPr>
        <w:t xml:space="preserve">. 13-14 </w:t>
      </w:r>
      <w:r w:rsidRPr="003F3D24">
        <w:rPr>
          <w:rFonts w:ascii="Monotype Corsiva" w:hAnsi="Monotype Corsiva"/>
          <w:sz w:val="24"/>
          <w:szCs w:val="24"/>
        </w:rPr>
        <w:t xml:space="preserve">din Regulamentul cu privire la modul de transmitere a bunurilor proprietate publică, aprobat prin </w:t>
      </w:r>
      <w:r w:rsidR="00ED7FA3" w:rsidRPr="003F3D24">
        <w:rPr>
          <w:rFonts w:ascii="Monotype Corsiva" w:hAnsi="Monotype Corsiva"/>
          <w:sz w:val="24"/>
          <w:szCs w:val="24"/>
        </w:rPr>
        <w:t>Hotărâr</w:t>
      </w:r>
      <w:r w:rsidR="009633D4" w:rsidRPr="003F3D24">
        <w:rPr>
          <w:rFonts w:ascii="Monotype Corsiva" w:hAnsi="Monotype Corsiva"/>
          <w:sz w:val="24"/>
          <w:szCs w:val="24"/>
        </w:rPr>
        <w:t>ea Guvernului Nr. 901/2</w:t>
      </w:r>
      <w:r w:rsidRPr="003F3D24">
        <w:rPr>
          <w:rFonts w:ascii="Monotype Corsiva" w:hAnsi="Monotype Corsiva"/>
          <w:sz w:val="24"/>
          <w:szCs w:val="24"/>
        </w:rPr>
        <w:t>015;</w:t>
      </w:r>
    </w:p>
    <w:p w:rsidR="00D707BA" w:rsidRPr="003F3D24" w:rsidRDefault="007546D6" w:rsidP="0032580E">
      <w:pPr>
        <w:rPr>
          <w:rFonts w:ascii="Monotype Corsiva" w:hAnsi="Monotype Corsiva"/>
          <w:sz w:val="24"/>
          <w:szCs w:val="24"/>
          <w:lang w:val="en-GB"/>
        </w:rPr>
      </w:pPr>
      <w:r w:rsidRPr="003F3D24">
        <w:rPr>
          <w:rFonts w:ascii="Monotype Corsiva" w:hAnsi="Monotype Corsiva"/>
          <w:sz w:val="24"/>
          <w:szCs w:val="24"/>
        </w:rPr>
        <w:t>avâ</w:t>
      </w:r>
      <w:r w:rsidR="00076FD9">
        <w:rPr>
          <w:rFonts w:ascii="Monotype Corsiva" w:hAnsi="Monotype Corsiva"/>
          <w:sz w:val="24"/>
          <w:szCs w:val="24"/>
        </w:rPr>
        <w:t>nd în vedere scrisoarea</w:t>
      </w:r>
      <w:r w:rsidR="00341E56" w:rsidRPr="003F3D24">
        <w:rPr>
          <w:rFonts w:ascii="Monotype Corsiva" w:hAnsi="Monotype Corsiva"/>
          <w:sz w:val="24"/>
          <w:szCs w:val="24"/>
        </w:rPr>
        <w:t xml:space="preserve"> </w:t>
      </w:r>
      <w:r w:rsidR="00256652" w:rsidRPr="003F3D24">
        <w:rPr>
          <w:rFonts w:ascii="Monotype Corsiva" w:hAnsi="Monotype Corsiva"/>
          <w:sz w:val="24"/>
          <w:szCs w:val="24"/>
        </w:rPr>
        <w:t>Ministerului Educa</w:t>
      </w:r>
      <w:r w:rsidR="00256652" w:rsidRPr="003F3D24">
        <w:rPr>
          <w:sz w:val="24"/>
          <w:szCs w:val="24"/>
        </w:rPr>
        <w:t>ț</w:t>
      </w:r>
      <w:r w:rsidR="00256652" w:rsidRPr="003F3D24">
        <w:rPr>
          <w:rFonts w:ascii="Monotype Corsiva" w:hAnsi="Monotype Corsiva"/>
          <w:sz w:val="24"/>
          <w:szCs w:val="24"/>
        </w:rPr>
        <w:t>iei</w:t>
      </w:r>
      <w:r w:rsidR="00963D1D" w:rsidRPr="003F3D24">
        <w:rPr>
          <w:rFonts w:ascii="Monotype Corsiva" w:hAnsi="Monotype Corsiva"/>
          <w:sz w:val="24"/>
          <w:szCs w:val="24"/>
        </w:rPr>
        <w:t xml:space="preserve"> </w:t>
      </w:r>
      <w:r w:rsidR="00256652" w:rsidRPr="003F3D24">
        <w:rPr>
          <w:sz w:val="24"/>
          <w:szCs w:val="24"/>
        </w:rPr>
        <w:t>ș</w:t>
      </w:r>
      <w:r w:rsidR="00256652" w:rsidRPr="003F3D24">
        <w:rPr>
          <w:rFonts w:ascii="Monotype Corsiva" w:hAnsi="Monotype Corsiva"/>
          <w:sz w:val="24"/>
          <w:szCs w:val="24"/>
        </w:rPr>
        <w:t>i C</w:t>
      </w:r>
      <w:r w:rsidR="00D707BA" w:rsidRPr="003F3D24">
        <w:rPr>
          <w:rFonts w:ascii="Monotype Corsiva" w:hAnsi="Monotype Corsiva"/>
          <w:sz w:val="24"/>
          <w:szCs w:val="24"/>
        </w:rPr>
        <w:t xml:space="preserve">ercetării al Republicii Moldova </w:t>
      </w:r>
      <w:r w:rsidR="00F626EC" w:rsidRPr="003F3D24">
        <w:rPr>
          <w:rFonts w:ascii="Monotype Corsiva" w:hAnsi="Monotype Corsiva"/>
          <w:sz w:val="24"/>
          <w:szCs w:val="24"/>
        </w:rPr>
        <w:t>N</w:t>
      </w:r>
      <w:r w:rsidRPr="003F3D24">
        <w:rPr>
          <w:rFonts w:ascii="Monotype Corsiva" w:hAnsi="Monotype Corsiva"/>
          <w:sz w:val="24"/>
          <w:szCs w:val="24"/>
        </w:rPr>
        <w:t>r.</w:t>
      </w:r>
      <w:r w:rsidR="009633D4" w:rsidRPr="003F3D24">
        <w:rPr>
          <w:rFonts w:ascii="Monotype Corsiva" w:hAnsi="Monotype Corsiva"/>
          <w:sz w:val="24"/>
          <w:szCs w:val="24"/>
        </w:rPr>
        <w:t xml:space="preserve"> </w:t>
      </w:r>
      <w:r w:rsidR="00C6093F" w:rsidRPr="003F3D24">
        <w:rPr>
          <w:rFonts w:ascii="Monotype Corsiva" w:hAnsi="Monotype Corsiva"/>
          <w:sz w:val="24"/>
          <w:szCs w:val="24"/>
        </w:rPr>
        <w:t>0</w:t>
      </w:r>
      <w:r w:rsidRPr="003F3D24">
        <w:rPr>
          <w:rFonts w:ascii="Monotype Corsiva" w:hAnsi="Monotype Corsiva"/>
          <w:sz w:val="24"/>
          <w:szCs w:val="24"/>
        </w:rPr>
        <w:t>3/1-09/</w:t>
      </w:r>
      <w:r w:rsidR="009633D4" w:rsidRPr="003F3D24">
        <w:rPr>
          <w:rFonts w:ascii="Monotype Corsiva" w:hAnsi="Monotype Corsiva"/>
          <w:sz w:val="24"/>
          <w:szCs w:val="24"/>
        </w:rPr>
        <w:t>3823</w:t>
      </w:r>
      <w:r w:rsidR="00A46606" w:rsidRPr="003F3D24">
        <w:rPr>
          <w:rFonts w:ascii="Monotype Corsiva" w:hAnsi="Monotype Corsiva"/>
          <w:sz w:val="24"/>
          <w:szCs w:val="24"/>
        </w:rPr>
        <w:t xml:space="preserve"> </w:t>
      </w:r>
      <w:r w:rsidRPr="003F3D24">
        <w:rPr>
          <w:rFonts w:ascii="Monotype Corsiva" w:hAnsi="Monotype Corsiva"/>
          <w:sz w:val="24"/>
          <w:szCs w:val="24"/>
        </w:rPr>
        <w:t xml:space="preserve">din </w:t>
      </w:r>
      <w:r w:rsidR="009633D4" w:rsidRPr="003F3D24">
        <w:rPr>
          <w:rFonts w:ascii="Monotype Corsiva" w:hAnsi="Monotype Corsiva"/>
          <w:sz w:val="24"/>
          <w:szCs w:val="24"/>
        </w:rPr>
        <w:t>16</w:t>
      </w:r>
      <w:r w:rsidRPr="003F3D24">
        <w:rPr>
          <w:rFonts w:ascii="Monotype Corsiva" w:hAnsi="Monotype Corsiva"/>
          <w:sz w:val="24"/>
          <w:szCs w:val="24"/>
        </w:rPr>
        <w:t>.0</w:t>
      </w:r>
      <w:r w:rsidR="009633D4" w:rsidRPr="003F3D24">
        <w:rPr>
          <w:rFonts w:ascii="Monotype Corsiva" w:hAnsi="Monotype Corsiva"/>
          <w:sz w:val="24"/>
          <w:szCs w:val="24"/>
        </w:rPr>
        <w:t>8</w:t>
      </w:r>
      <w:r w:rsidRPr="003F3D24">
        <w:rPr>
          <w:rFonts w:ascii="Monotype Corsiva" w:hAnsi="Monotype Corsiva"/>
          <w:sz w:val="24"/>
          <w:szCs w:val="24"/>
        </w:rPr>
        <w:t>.202</w:t>
      </w:r>
      <w:r w:rsidR="00963D1D" w:rsidRPr="003F3D24">
        <w:rPr>
          <w:rFonts w:ascii="Monotype Corsiva" w:hAnsi="Monotype Corsiva"/>
          <w:sz w:val="24"/>
          <w:szCs w:val="24"/>
        </w:rPr>
        <w:t>3</w:t>
      </w:r>
      <w:r w:rsidR="003F3D24" w:rsidRPr="003F3D24">
        <w:rPr>
          <w:rFonts w:ascii="Monotype Corsiva" w:hAnsi="Monotype Corsiva"/>
          <w:sz w:val="24"/>
          <w:szCs w:val="24"/>
        </w:rPr>
        <w:t xml:space="preserve"> </w:t>
      </w:r>
      <w:r w:rsidR="003F3D24" w:rsidRPr="003F3D24">
        <w:rPr>
          <w:sz w:val="24"/>
          <w:szCs w:val="24"/>
        </w:rPr>
        <w:t>ș</w:t>
      </w:r>
      <w:r w:rsidR="003F3D24" w:rsidRPr="003F3D24">
        <w:rPr>
          <w:rFonts w:ascii="Monotype Corsiva" w:hAnsi="Monotype Corsiva"/>
          <w:sz w:val="24"/>
          <w:szCs w:val="24"/>
        </w:rPr>
        <w:t>i Nr. 03/1-09/4071 din 28.08.2023,</w:t>
      </w:r>
      <w:r w:rsidR="0008209E">
        <w:rPr>
          <w:rFonts w:ascii="Monotype Corsiva" w:hAnsi="Monotype Corsiva"/>
          <w:sz w:val="24"/>
          <w:szCs w:val="24"/>
        </w:rPr>
        <w:t xml:space="preserve">ordinul </w:t>
      </w:r>
      <w:r w:rsidR="0008209E" w:rsidRPr="003F3D24">
        <w:rPr>
          <w:rFonts w:ascii="Monotype Corsiva" w:hAnsi="Monotype Corsiva"/>
          <w:sz w:val="24"/>
          <w:szCs w:val="24"/>
        </w:rPr>
        <w:t>Ministerului Educa</w:t>
      </w:r>
      <w:r w:rsidR="0008209E" w:rsidRPr="003F3D24">
        <w:rPr>
          <w:sz w:val="24"/>
          <w:szCs w:val="24"/>
        </w:rPr>
        <w:t>ț</w:t>
      </w:r>
      <w:r w:rsidR="0008209E" w:rsidRPr="003F3D24">
        <w:rPr>
          <w:rFonts w:ascii="Monotype Corsiva" w:hAnsi="Monotype Corsiva"/>
          <w:sz w:val="24"/>
          <w:szCs w:val="24"/>
        </w:rPr>
        <w:t xml:space="preserve">iei </w:t>
      </w:r>
      <w:r w:rsidR="0008209E" w:rsidRPr="003F3D24">
        <w:rPr>
          <w:sz w:val="24"/>
          <w:szCs w:val="24"/>
        </w:rPr>
        <w:t>ș</w:t>
      </w:r>
      <w:r w:rsidR="0008209E" w:rsidRPr="003F3D24">
        <w:rPr>
          <w:rFonts w:ascii="Monotype Corsiva" w:hAnsi="Monotype Corsiva"/>
          <w:sz w:val="24"/>
          <w:szCs w:val="24"/>
        </w:rPr>
        <w:t>i Cercetării al Republicii Moldova Nr</w:t>
      </w:r>
      <w:r w:rsidR="0008209E">
        <w:rPr>
          <w:rFonts w:ascii="Monotype Corsiva" w:hAnsi="Monotype Corsiva"/>
          <w:sz w:val="24"/>
          <w:szCs w:val="24"/>
        </w:rPr>
        <w:t>.1207 din 27.09.2023</w:t>
      </w:r>
    </w:p>
    <w:p w:rsidR="007546D6" w:rsidRPr="009827EE" w:rsidRDefault="00256652" w:rsidP="0032580E">
      <w:pPr>
        <w:rPr>
          <w:rFonts w:ascii="Monotype Corsiva" w:hAnsi="Monotype Corsiva"/>
          <w:sz w:val="24"/>
          <w:szCs w:val="24"/>
        </w:rPr>
      </w:pPr>
      <w:r w:rsidRPr="003F3D24">
        <w:rPr>
          <w:rFonts w:ascii="Monotype Corsiva" w:hAnsi="Monotype Corsiva"/>
          <w:sz w:val="24"/>
          <w:szCs w:val="24"/>
        </w:rPr>
        <w:t xml:space="preserve">                                                   </w:t>
      </w:r>
      <w:r w:rsidR="00C6093F" w:rsidRPr="003F3D24">
        <w:rPr>
          <w:rFonts w:ascii="Monotype Corsiva" w:hAnsi="Monotype Corsiva"/>
          <w:sz w:val="24"/>
          <w:szCs w:val="24"/>
        </w:rPr>
        <w:t xml:space="preserve">                                                    </w:t>
      </w:r>
      <w:r w:rsidR="00C6093F" w:rsidRPr="009827EE">
        <w:rPr>
          <w:rFonts w:ascii="Monotype Corsiva" w:hAnsi="Monotype Corsiva"/>
          <w:sz w:val="24"/>
          <w:szCs w:val="24"/>
        </w:rPr>
        <w:t xml:space="preserve">                      </w:t>
      </w:r>
    </w:p>
    <w:p w:rsidR="00256652" w:rsidRPr="00C6093F" w:rsidRDefault="00256652" w:rsidP="0032580E">
      <w:pPr>
        <w:pStyle w:val="Indentcorptext"/>
        <w:tabs>
          <w:tab w:val="left" w:pos="-312"/>
          <w:tab w:val="left" w:pos="9214"/>
        </w:tabs>
        <w:ind w:left="0"/>
        <w:rPr>
          <w:rFonts w:ascii="Monotype Corsiva" w:hAnsi="Monotype Corsiva"/>
        </w:rPr>
      </w:pPr>
    </w:p>
    <w:p w:rsidR="00DC10D8" w:rsidRDefault="00256652" w:rsidP="0032580E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9633D4" w:rsidRPr="006D3BAE" w:rsidRDefault="009633D4" w:rsidP="0032580E">
      <w:pPr>
        <w:pStyle w:val="Indentcorptext"/>
        <w:tabs>
          <w:tab w:val="left" w:pos="-312"/>
          <w:tab w:val="left" w:pos="9214"/>
        </w:tabs>
        <w:ind w:left="0"/>
      </w:pPr>
    </w:p>
    <w:p w:rsidR="00FB1FBC" w:rsidRDefault="00256652" w:rsidP="0032580E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6D3BAE" w:rsidRDefault="006D3BAE" w:rsidP="0032580E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F760E9" w:rsidRPr="00080D7C" w:rsidRDefault="00080D7C" w:rsidP="0032580E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760E9" w:rsidRPr="00080D7C">
        <w:rPr>
          <w:sz w:val="24"/>
          <w:szCs w:val="24"/>
        </w:rPr>
        <w:t>Se acceptă primirea</w:t>
      </w:r>
      <w:r w:rsidR="00210CBE" w:rsidRPr="00080D7C">
        <w:rPr>
          <w:sz w:val="24"/>
          <w:szCs w:val="24"/>
        </w:rPr>
        <w:t xml:space="preserve"> bunurilor </w:t>
      </w:r>
      <w:r w:rsidR="00F760E9" w:rsidRPr="00080D7C">
        <w:rPr>
          <w:sz w:val="24"/>
          <w:szCs w:val="24"/>
        </w:rPr>
        <w:t xml:space="preserve"> </w:t>
      </w:r>
      <w:r w:rsidR="005D6DA8">
        <w:rPr>
          <w:sz w:val="24"/>
          <w:szCs w:val="24"/>
        </w:rPr>
        <w:t>menționate în</w:t>
      </w:r>
      <w:r w:rsidR="00D707BA">
        <w:rPr>
          <w:sz w:val="24"/>
          <w:szCs w:val="24"/>
        </w:rPr>
        <w:t xml:space="preserve"> anex</w:t>
      </w:r>
      <w:r w:rsidR="009633D4">
        <w:rPr>
          <w:sz w:val="24"/>
          <w:szCs w:val="24"/>
        </w:rPr>
        <w:t>ă</w:t>
      </w:r>
      <w:r w:rsidR="009827EE">
        <w:rPr>
          <w:sz w:val="24"/>
          <w:szCs w:val="24"/>
        </w:rPr>
        <w:t xml:space="preserve"> la </w:t>
      </w:r>
      <w:r w:rsidR="005D6DA8" w:rsidRPr="00080D7C">
        <w:rPr>
          <w:sz w:val="24"/>
          <w:szCs w:val="24"/>
        </w:rPr>
        <w:t>prezenta decizie</w:t>
      </w:r>
      <w:r w:rsidR="00D707BA">
        <w:rPr>
          <w:sz w:val="24"/>
          <w:szCs w:val="24"/>
        </w:rPr>
        <w:t>,</w:t>
      </w:r>
      <w:r w:rsidR="005D6DA8" w:rsidRPr="00080D7C">
        <w:rPr>
          <w:sz w:val="24"/>
          <w:szCs w:val="24"/>
        </w:rPr>
        <w:t xml:space="preserve"> </w:t>
      </w:r>
      <w:r w:rsidR="00F760E9" w:rsidRPr="00080D7C">
        <w:rPr>
          <w:sz w:val="24"/>
          <w:szCs w:val="24"/>
        </w:rPr>
        <w:t xml:space="preserve">din proprietatea publică a statului, </w:t>
      </w:r>
      <w:r w:rsidR="00893493" w:rsidRPr="00080D7C">
        <w:rPr>
          <w:sz w:val="24"/>
          <w:szCs w:val="24"/>
        </w:rPr>
        <w:t>administrarea</w:t>
      </w:r>
      <w:r w:rsidR="00A46606">
        <w:rPr>
          <w:sz w:val="24"/>
          <w:szCs w:val="24"/>
        </w:rPr>
        <w:t xml:space="preserve"> Ministerului Educației </w:t>
      </w:r>
      <w:r w:rsidR="00F760E9" w:rsidRPr="00080D7C">
        <w:rPr>
          <w:sz w:val="24"/>
          <w:szCs w:val="24"/>
        </w:rPr>
        <w:t>și Cercetării</w:t>
      </w:r>
      <w:r w:rsidR="00FB1FBC" w:rsidRPr="00080D7C">
        <w:rPr>
          <w:sz w:val="24"/>
          <w:szCs w:val="24"/>
        </w:rPr>
        <w:t xml:space="preserve"> al Republicii Moldova</w:t>
      </w:r>
      <w:r w:rsidR="00F760E9" w:rsidRPr="00080D7C">
        <w:rPr>
          <w:sz w:val="24"/>
          <w:szCs w:val="24"/>
        </w:rPr>
        <w:t xml:space="preserve">, în proprietatea publică a raionului Ungheni, </w:t>
      </w:r>
      <w:r w:rsidR="008C55FD">
        <w:rPr>
          <w:sz w:val="24"/>
          <w:szCs w:val="24"/>
        </w:rPr>
        <w:t xml:space="preserve">administrarea </w:t>
      </w:r>
      <w:r w:rsidR="00A46606">
        <w:rPr>
          <w:sz w:val="24"/>
          <w:szCs w:val="24"/>
        </w:rPr>
        <w:t>Direcției Educație</w:t>
      </w:r>
      <w:r w:rsidR="0051316F" w:rsidRPr="00080D7C">
        <w:rPr>
          <w:sz w:val="24"/>
          <w:szCs w:val="24"/>
        </w:rPr>
        <w:t>.</w:t>
      </w:r>
    </w:p>
    <w:p w:rsidR="00080D7C" w:rsidRDefault="00080D7C" w:rsidP="0032580E">
      <w:pPr>
        <w:rPr>
          <w:sz w:val="24"/>
          <w:szCs w:val="24"/>
        </w:rPr>
      </w:pPr>
      <w:r>
        <w:rPr>
          <w:sz w:val="24"/>
          <w:szCs w:val="24"/>
        </w:rPr>
        <w:t xml:space="preserve">2. După primirea în proprietate </w:t>
      </w:r>
      <w:r w:rsidR="00A46606">
        <w:rPr>
          <w:sz w:val="24"/>
          <w:szCs w:val="24"/>
        </w:rPr>
        <w:t xml:space="preserve">publică </w:t>
      </w:r>
      <w:r>
        <w:rPr>
          <w:sz w:val="24"/>
          <w:szCs w:val="24"/>
        </w:rPr>
        <w:t>a raionului Ungheni,</w:t>
      </w:r>
      <w:r w:rsidR="008C55FD">
        <w:rPr>
          <w:sz w:val="24"/>
          <w:szCs w:val="24"/>
        </w:rPr>
        <w:t xml:space="preserve"> administrarea Direcției Educație,</w:t>
      </w:r>
      <w:r>
        <w:rPr>
          <w:sz w:val="24"/>
          <w:szCs w:val="24"/>
        </w:rPr>
        <w:t xml:space="preserve"> bunu</w:t>
      </w:r>
      <w:r w:rsidR="00A46606">
        <w:rPr>
          <w:sz w:val="24"/>
          <w:szCs w:val="24"/>
        </w:rPr>
        <w:t xml:space="preserve">rile </w:t>
      </w:r>
      <w:r>
        <w:rPr>
          <w:sz w:val="24"/>
          <w:szCs w:val="24"/>
        </w:rPr>
        <w:t xml:space="preserve">vor fi transmise în </w:t>
      </w:r>
      <w:r w:rsidR="003A4A87">
        <w:rPr>
          <w:sz w:val="24"/>
          <w:szCs w:val="24"/>
        </w:rPr>
        <w:t>administrarea</w:t>
      </w:r>
      <w:r w:rsidR="001925EC">
        <w:rPr>
          <w:sz w:val="24"/>
          <w:szCs w:val="24"/>
        </w:rPr>
        <w:t xml:space="preserve"> </w:t>
      </w:r>
      <w:r>
        <w:rPr>
          <w:sz w:val="24"/>
          <w:szCs w:val="24"/>
        </w:rPr>
        <w:t>instituțiilor publice din raionul Ungheni</w:t>
      </w:r>
      <w:r w:rsidRPr="00080D7C">
        <w:rPr>
          <w:sz w:val="24"/>
          <w:szCs w:val="24"/>
        </w:rPr>
        <w:t xml:space="preserve"> </w:t>
      </w:r>
      <w:r w:rsidR="00A46606">
        <w:rPr>
          <w:sz w:val="24"/>
          <w:szCs w:val="24"/>
        </w:rPr>
        <w:t>menționate în anexă la prezenta decizie</w:t>
      </w:r>
      <w:r w:rsidR="003A4A87" w:rsidRPr="003A4A87">
        <w:rPr>
          <w:sz w:val="24"/>
          <w:szCs w:val="24"/>
        </w:rPr>
        <w:t xml:space="preserve"> în conformitate cu prevederile Regulamentul</w:t>
      </w:r>
      <w:r w:rsidR="003A4A87">
        <w:rPr>
          <w:sz w:val="24"/>
          <w:szCs w:val="24"/>
        </w:rPr>
        <w:t>ui</w:t>
      </w:r>
      <w:r w:rsidR="003A4A87" w:rsidRPr="003A4A87">
        <w:rPr>
          <w:sz w:val="24"/>
          <w:szCs w:val="24"/>
        </w:rPr>
        <w:t xml:space="preserve"> cu privire la modul de transmitere a bunurilor proprietate publică, aprobat prin Hotărârea Gu</w:t>
      </w:r>
      <w:r w:rsidR="009633D4">
        <w:rPr>
          <w:sz w:val="24"/>
          <w:szCs w:val="24"/>
        </w:rPr>
        <w:t>vernului Nr. 901/</w:t>
      </w:r>
      <w:r w:rsidR="003A4A87">
        <w:rPr>
          <w:sz w:val="24"/>
          <w:szCs w:val="24"/>
        </w:rPr>
        <w:t>2015.</w:t>
      </w:r>
    </w:p>
    <w:p w:rsidR="003A4A87" w:rsidRPr="003A4A87" w:rsidRDefault="003A4A87" w:rsidP="0032580E">
      <w:pPr>
        <w:rPr>
          <w:sz w:val="24"/>
          <w:szCs w:val="24"/>
        </w:rPr>
      </w:pPr>
      <w:r>
        <w:rPr>
          <w:sz w:val="24"/>
          <w:szCs w:val="24"/>
        </w:rPr>
        <w:t xml:space="preserve">3. Se deleagă </w:t>
      </w:r>
      <w:r w:rsidR="001925EC">
        <w:rPr>
          <w:sz w:val="24"/>
          <w:szCs w:val="24"/>
        </w:rPr>
        <w:t>dnei Pancu Iulia</w:t>
      </w:r>
      <w:r>
        <w:rPr>
          <w:sz w:val="24"/>
          <w:szCs w:val="24"/>
        </w:rPr>
        <w:t xml:space="preserve">, </w:t>
      </w:r>
      <w:r w:rsidR="001925EC">
        <w:rPr>
          <w:sz w:val="24"/>
          <w:szCs w:val="24"/>
        </w:rPr>
        <w:t>șef Direcției Educație</w:t>
      </w:r>
      <w:r>
        <w:rPr>
          <w:sz w:val="24"/>
          <w:szCs w:val="24"/>
        </w:rPr>
        <w:t>, dreptul de a institui comisia de predare-primire a bunurilor menționate în anex</w:t>
      </w:r>
      <w:r w:rsidR="00A46606">
        <w:rPr>
          <w:sz w:val="24"/>
          <w:szCs w:val="24"/>
        </w:rPr>
        <w:t>ă</w:t>
      </w:r>
      <w:r>
        <w:rPr>
          <w:sz w:val="24"/>
          <w:szCs w:val="24"/>
        </w:rPr>
        <w:t xml:space="preserve"> la prezenta decizie</w:t>
      </w:r>
      <w:r w:rsidRPr="003A4A87">
        <w:rPr>
          <w:sz w:val="24"/>
          <w:szCs w:val="24"/>
        </w:rPr>
        <w:t xml:space="preserve"> </w:t>
      </w:r>
      <w:r>
        <w:rPr>
          <w:sz w:val="24"/>
          <w:szCs w:val="24"/>
        </w:rPr>
        <w:t>în administrarea instituțiilor publice din raionul Ungheni.</w:t>
      </w:r>
    </w:p>
    <w:p w:rsidR="005340B9" w:rsidRDefault="0032572D" w:rsidP="0032580E">
      <w:pPr>
        <w:pStyle w:val="Indentcorptext"/>
        <w:tabs>
          <w:tab w:val="left" w:pos="-284"/>
        </w:tabs>
        <w:spacing w:after="0"/>
        <w:ind w:left="0"/>
      </w:pPr>
      <w:r>
        <w:t>4</w:t>
      </w:r>
      <w:r w:rsidR="00256652">
        <w:t>. Prezenta decizie se va</w:t>
      </w:r>
      <w:r w:rsidR="00A46606">
        <w:t xml:space="preserve"> remite Ministerului Educației </w:t>
      </w:r>
      <w:r w:rsidR="00256652">
        <w:t>și Cercetării al Republicii Moldova.</w:t>
      </w:r>
    </w:p>
    <w:p w:rsidR="0051316F" w:rsidRDefault="0032572D" w:rsidP="0032580E">
      <w:pPr>
        <w:pStyle w:val="Indentcorptext"/>
        <w:tabs>
          <w:tab w:val="left" w:pos="-312"/>
          <w:tab w:val="left" w:pos="840"/>
          <w:tab w:val="left" w:pos="9214"/>
        </w:tabs>
        <w:ind w:left="0"/>
      </w:pPr>
      <w:r>
        <w:t>5</w:t>
      </w:r>
      <w:r w:rsidR="00256652">
        <w:t xml:space="preserve">. Controlul asupra executării prezentei decizii se atribuie </w:t>
      </w:r>
      <w:r w:rsidR="003A4A87">
        <w:t>d</w:t>
      </w:r>
      <w:r w:rsidR="00080D7C">
        <w:t xml:space="preserve">lui </w:t>
      </w:r>
      <w:proofErr w:type="spellStart"/>
      <w:r w:rsidR="00CD6521">
        <w:t>Ternovschi</w:t>
      </w:r>
      <w:proofErr w:type="spellEnd"/>
      <w:r w:rsidR="00CD6521">
        <w:t xml:space="preserve"> Dionisie</w:t>
      </w:r>
      <w:r w:rsidR="00256652">
        <w:t xml:space="preserve">, </w:t>
      </w:r>
      <w:r w:rsidR="00080D7C">
        <w:t>p</w:t>
      </w:r>
      <w:r w:rsidR="00256652">
        <w:t>reşedintele raionului.</w:t>
      </w:r>
    </w:p>
    <w:p w:rsidR="005D6DA8" w:rsidRDefault="005D6DA8" w:rsidP="0032580E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DC10D8" w:rsidRDefault="00DC10D8" w:rsidP="0032580E">
      <w:pPr>
        <w:pStyle w:val="Indentcorptext"/>
        <w:tabs>
          <w:tab w:val="left" w:pos="-312"/>
          <w:tab w:val="left" w:pos="840"/>
          <w:tab w:val="left" w:pos="9214"/>
        </w:tabs>
        <w:ind w:left="0"/>
      </w:pPr>
    </w:p>
    <w:p w:rsidR="00893493" w:rsidRDefault="00256652" w:rsidP="0032580E">
      <w:pPr>
        <w:rPr>
          <w:sz w:val="24"/>
          <w:szCs w:val="24"/>
        </w:rPr>
      </w:pPr>
      <w:r>
        <w:rPr>
          <w:sz w:val="24"/>
          <w:szCs w:val="24"/>
        </w:rPr>
        <w:t xml:space="preserve">Preşedintele şedinţei                                     </w:t>
      </w:r>
      <w:r w:rsidR="005E5B30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              </w:t>
      </w:r>
    </w:p>
    <w:p w:rsidR="00DC10D8" w:rsidRDefault="00DC10D8" w:rsidP="0032580E">
      <w:pPr>
        <w:rPr>
          <w:sz w:val="24"/>
          <w:szCs w:val="24"/>
          <w:lang w:val="en-US"/>
        </w:rPr>
      </w:pPr>
    </w:p>
    <w:p w:rsidR="005D6DA8" w:rsidRDefault="005D6DA8" w:rsidP="0032580E">
      <w:pPr>
        <w:rPr>
          <w:sz w:val="24"/>
          <w:szCs w:val="24"/>
          <w:lang w:val="en-US"/>
        </w:rPr>
      </w:pPr>
    </w:p>
    <w:p w:rsidR="00256652" w:rsidRDefault="00256652" w:rsidP="0032580E">
      <w:pPr>
        <w:rPr>
          <w:i/>
          <w:sz w:val="24"/>
          <w:szCs w:val="24"/>
        </w:rPr>
      </w:pPr>
      <w:r w:rsidRPr="00FB1FBC">
        <w:rPr>
          <w:i/>
          <w:sz w:val="24"/>
          <w:szCs w:val="24"/>
        </w:rPr>
        <w:t>Contrasemnează:</w:t>
      </w:r>
    </w:p>
    <w:p w:rsidR="00DC10D8" w:rsidRPr="00FB1FBC" w:rsidRDefault="00DC10D8" w:rsidP="0032580E">
      <w:pPr>
        <w:rPr>
          <w:i/>
          <w:sz w:val="24"/>
          <w:szCs w:val="24"/>
          <w:lang w:val="en-US"/>
        </w:rPr>
      </w:pPr>
    </w:p>
    <w:p w:rsidR="005D6DA8" w:rsidRDefault="005D6DA8" w:rsidP="0032580E">
      <w:pPr>
        <w:rPr>
          <w:sz w:val="24"/>
          <w:szCs w:val="24"/>
        </w:rPr>
      </w:pPr>
    </w:p>
    <w:p w:rsidR="00256652" w:rsidRDefault="0032580E" w:rsidP="0032580E">
      <w:pPr>
        <w:rPr>
          <w:sz w:val="24"/>
          <w:szCs w:val="24"/>
        </w:rPr>
      </w:pPr>
      <w:r>
        <w:rPr>
          <w:sz w:val="24"/>
          <w:szCs w:val="24"/>
        </w:rPr>
        <w:t>Secretarul c</w:t>
      </w:r>
      <w:r w:rsidR="00256652">
        <w:rPr>
          <w:sz w:val="24"/>
          <w:szCs w:val="24"/>
        </w:rPr>
        <w:t>onsiliului raional</w:t>
      </w:r>
      <w:r>
        <w:rPr>
          <w:sz w:val="24"/>
          <w:szCs w:val="24"/>
        </w:rPr>
        <w:t>,</w:t>
      </w:r>
      <w:r w:rsidR="00256652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</w:t>
      </w:r>
      <w:r w:rsidR="00256652">
        <w:rPr>
          <w:sz w:val="24"/>
          <w:szCs w:val="24"/>
        </w:rPr>
        <w:t xml:space="preserve">Rodica </w:t>
      </w:r>
      <w:proofErr w:type="spellStart"/>
      <w:r>
        <w:rPr>
          <w:sz w:val="24"/>
          <w:szCs w:val="24"/>
        </w:rPr>
        <w:t>Lițcan</w:t>
      </w:r>
      <w:proofErr w:type="spellEnd"/>
    </w:p>
    <w:p w:rsidR="005E5B30" w:rsidRDefault="00256652" w:rsidP="0032580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6606" w:rsidRDefault="00A46606" w:rsidP="0032580E">
      <w:pPr>
        <w:jc w:val="right"/>
        <w:rPr>
          <w:i/>
          <w:sz w:val="24"/>
          <w:lang w:val="en-US"/>
        </w:rPr>
      </w:pPr>
    </w:p>
    <w:p w:rsidR="00A46606" w:rsidRDefault="00A46606" w:rsidP="0032580E">
      <w:pPr>
        <w:jc w:val="right"/>
        <w:rPr>
          <w:i/>
          <w:sz w:val="24"/>
          <w:lang w:val="en-US"/>
        </w:rPr>
      </w:pPr>
    </w:p>
    <w:p w:rsidR="009633D4" w:rsidRDefault="009633D4" w:rsidP="0032580E">
      <w:pPr>
        <w:jc w:val="right"/>
        <w:rPr>
          <w:i/>
          <w:sz w:val="24"/>
          <w:lang w:val="en-US"/>
        </w:rPr>
      </w:pPr>
    </w:p>
    <w:p w:rsidR="00A46606" w:rsidRDefault="00A46606" w:rsidP="0032580E">
      <w:pPr>
        <w:jc w:val="right"/>
        <w:rPr>
          <w:i/>
          <w:sz w:val="24"/>
          <w:lang w:val="en-US"/>
        </w:rPr>
      </w:pPr>
    </w:p>
    <w:p w:rsidR="00A02606" w:rsidRPr="00B11C3B" w:rsidRDefault="00A02606" w:rsidP="00A46606">
      <w:pPr>
        <w:rPr>
          <w:i/>
          <w:sz w:val="24"/>
          <w:szCs w:val="24"/>
          <w:lang w:val="en-US"/>
        </w:rPr>
      </w:pPr>
    </w:p>
    <w:p w:rsidR="009633D4" w:rsidRDefault="009633D4" w:rsidP="009633D4">
      <w:pPr>
        <w:ind w:right="-1"/>
        <w:jc w:val="right"/>
        <w:rPr>
          <w:i/>
          <w:sz w:val="22"/>
          <w:szCs w:val="22"/>
          <w:lang w:val="en-US"/>
        </w:rPr>
      </w:pPr>
    </w:p>
    <w:p w:rsidR="009633D4" w:rsidRDefault="009633D4" w:rsidP="009633D4">
      <w:pPr>
        <w:ind w:right="-1"/>
        <w:jc w:val="right"/>
        <w:rPr>
          <w:i/>
          <w:sz w:val="22"/>
          <w:szCs w:val="22"/>
          <w:lang w:val="en-US"/>
        </w:rPr>
      </w:pPr>
    </w:p>
    <w:p w:rsidR="00A02606" w:rsidRPr="009633D4" w:rsidRDefault="009633D4" w:rsidP="009633D4">
      <w:pPr>
        <w:ind w:right="-1"/>
        <w:jc w:val="right"/>
        <w:rPr>
          <w:i/>
          <w:sz w:val="22"/>
          <w:szCs w:val="22"/>
          <w:lang w:val="en-US"/>
        </w:rPr>
      </w:pPr>
      <w:proofErr w:type="spellStart"/>
      <w:r w:rsidRPr="009633D4">
        <w:rPr>
          <w:i/>
          <w:sz w:val="22"/>
          <w:szCs w:val="22"/>
          <w:lang w:val="en-US"/>
        </w:rPr>
        <w:t>Anexă</w:t>
      </w:r>
      <w:proofErr w:type="spellEnd"/>
      <w:r w:rsidRPr="009633D4">
        <w:rPr>
          <w:i/>
          <w:sz w:val="22"/>
          <w:szCs w:val="22"/>
          <w:lang w:val="en-US"/>
        </w:rPr>
        <w:t xml:space="preserve"> </w:t>
      </w:r>
      <w:r w:rsidR="00A02606" w:rsidRPr="009633D4">
        <w:rPr>
          <w:i/>
          <w:sz w:val="22"/>
          <w:szCs w:val="22"/>
          <w:lang w:val="en-US"/>
        </w:rPr>
        <w:t xml:space="preserve">la </w:t>
      </w:r>
      <w:proofErr w:type="spellStart"/>
      <w:r w:rsidR="00A02606" w:rsidRPr="009633D4">
        <w:rPr>
          <w:i/>
          <w:sz w:val="22"/>
          <w:szCs w:val="22"/>
          <w:lang w:val="en-US"/>
        </w:rPr>
        <w:t>Decizia</w:t>
      </w:r>
      <w:proofErr w:type="spellEnd"/>
      <w:r w:rsidR="00A02606"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="00A02606" w:rsidRPr="009633D4">
        <w:rPr>
          <w:i/>
          <w:sz w:val="22"/>
          <w:szCs w:val="22"/>
          <w:lang w:val="en-US"/>
        </w:rPr>
        <w:t>Consiliului</w:t>
      </w:r>
      <w:proofErr w:type="spellEnd"/>
      <w:r w:rsidR="00A02606"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="00A02606" w:rsidRPr="009633D4">
        <w:rPr>
          <w:i/>
          <w:sz w:val="22"/>
          <w:szCs w:val="22"/>
          <w:lang w:val="en-US"/>
        </w:rPr>
        <w:t>raional</w:t>
      </w:r>
      <w:proofErr w:type="spellEnd"/>
      <w:r w:rsidR="00A02606" w:rsidRPr="009633D4">
        <w:rPr>
          <w:i/>
          <w:sz w:val="22"/>
          <w:szCs w:val="22"/>
          <w:lang w:val="en-US"/>
        </w:rPr>
        <w:t xml:space="preserve"> </w:t>
      </w:r>
      <w:proofErr w:type="spellStart"/>
      <w:r w:rsidR="00A02606" w:rsidRPr="009633D4">
        <w:rPr>
          <w:i/>
          <w:sz w:val="22"/>
          <w:szCs w:val="22"/>
          <w:lang w:val="en-US"/>
        </w:rPr>
        <w:t>Ungheni</w:t>
      </w:r>
      <w:proofErr w:type="spellEnd"/>
    </w:p>
    <w:p w:rsidR="00A02606" w:rsidRPr="009633D4" w:rsidRDefault="00A02606" w:rsidP="009633D4">
      <w:pPr>
        <w:ind w:left="5103" w:right="-1"/>
        <w:jc w:val="right"/>
        <w:rPr>
          <w:i/>
          <w:sz w:val="22"/>
          <w:szCs w:val="22"/>
          <w:lang w:val="en-US"/>
        </w:rPr>
      </w:pPr>
      <w:r w:rsidRPr="009633D4">
        <w:rPr>
          <w:i/>
          <w:sz w:val="22"/>
          <w:szCs w:val="22"/>
          <w:lang w:val="en-US"/>
        </w:rPr>
        <w:t>Nr. ___________</w:t>
      </w:r>
    </w:p>
    <w:p w:rsidR="00A02606" w:rsidRPr="009633D4" w:rsidRDefault="00076FD9" w:rsidP="009633D4">
      <w:pPr>
        <w:ind w:left="5103" w:right="-1"/>
        <w:jc w:val="right"/>
        <w:rPr>
          <w:i/>
          <w:sz w:val="22"/>
          <w:szCs w:val="22"/>
          <w:lang w:val="en-US"/>
        </w:rPr>
      </w:pPr>
      <w:proofErr w:type="gramStart"/>
      <w:r>
        <w:rPr>
          <w:i/>
          <w:sz w:val="22"/>
          <w:szCs w:val="22"/>
          <w:lang w:val="en-US"/>
        </w:rPr>
        <w:t>din</w:t>
      </w:r>
      <w:proofErr w:type="gramEnd"/>
      <w:r>
        <w:rPr>
          <w:i/>
          <w:sz w:val="22"/>
          <w:szCs w:val="22"/>
          <w:lang w:val="en-US"/>
        </w:rPr>
        <w:t xml:space="preserve"> _______ 2024</w:t>
      </w:r>
    </w:p>
    <w:p w:rsidR="009633D4" w:rsidRPr="009633D4" w:rsidRDefault="009633D4" w:rsidP="009633D4">
      <w:pPr>
        <w:ind w:right="531"/>
        <w:jc w:val="center"/>
        <w:rPr>
          <w:b/>
          <w:spacing w:val="-1"/>
          <w:sz w:val="22"/>
          <w:szCs w:val="22"/>
        </w:rPr>
      </w:pPr>
    </w:p>
    <w:p w:rsidR="009633D4" w:rsidRPr="009633D4" w:rsidRDefault="009633D4" w:rsidP="009633D4">
      <w:pPr>
        <w:ind w:right="531"/>
        <w:jc w:val="center"/>
        <w:rPr>
          <w:b/>
          <w:sz w:val="18"/>
          <w:szCs w:val="18"/>
        </w:rPr>
      </w:pPr>
      <w:r w:rsidRPr="009633D4">
        <w:rPr>
          <w:b/>
          <w:spacing w:val="-1"/>
          <w:sz w:val="18"/>
          <w:szCs w:val="18"/>
        </w:rPr>
        <w:t>LISTA</w:t>
      </w:r>
    </w:p>
    <w:p w:rsidR="00A02606" w:rsidRPr="009633D4" w:rsidRDefault="009633D4" w:rsidP="009633D4">
      <w:pPr>
        <w:ind w:right="531"/>
        <w:jc w:val="center"/>
        <w:rPr>
          <w:b/>
          <w:sz w:val="18"/>
          <w:szCs w:val="18"/>
        </w:rPr>
      </w:pPr>
      <w:r w:rsidRPr="009633D4">
        <w:rPr>
          <w:b/>
          <w:spacing w:val="-1"/>
          <w:sz w:val="18"/>
          <w:szCs w:val="18"/>
        </w:rPr>
        <w:t xml:space="preserve">bunurilor care </w:t>
      </w:r>
      <w:r w:rsidRPr="009633D4">
        <w:rPr>
          <w:b/>
          <w:sz w:val="18"/>
          <w:szCs w:val="18"/>
        </w:rPr>
        <w:t>se</w:t>
      </w:r>
      <w:r w:rsidRPr="009633D4">
        <w:rPr>
          <w:b/>
          <w:spacing w:val="1"/>
          <w:sz w:val="18"/>
          <w:szCs w:val="18"/>
        </w:rPr>
        <w:t xml:space="preserve"> </w:t>
      </w:r>
      <w:r w:rsidRPr="009633D4">
        <w:rPr>
          <w:b/>
          <w:sz w:val="18"/>
          <w:szCs w:val="18"/>
        </w:rPr>
        <w:t xml:space="preserve">transmit </w:t>
      </w:r>
      <w:r w:rsidRPr="009633D4">
        <w:rPr>
          <w:b/>
          <w:spacing w:val="-1"/>
          <w:sz w:val="18"/>
          <w:szCs w:val="18"/>
        </w:rPr>
        <w:t>din</w:t>
      </w:r>
      <w:r w:rsidRPr="009633D4">
        <w:rPr>
          <w:b/>
          <w:sz w:val="18"/>
          <w:szCs w:val="18"/>
        </w:rPr>
        <w:t xml:space="preserve"> </w:t>
      </w:r>
      <w:r w:rsidRPr="009633D4">
        <w:rPr>
          <w:b/>
          <w:spacing w:val="-1"/>
          <w:sz w:val="18"/>
          <w:szCs w:val="18"/>
        </w:rPr>
        <w:t>proprietatea</w:t>
      </w:r>
      <w:r w:rsidRPr="009633D4">
        <w:rPr>
          <w:b/>
          <w:sz w:val="18"/>
          <w:szCs w:val="18"/>
        </w:rPr>
        <w:t xml:space="preserve"> statului,</w:t>
      </w:r>
      <w:r w:rsidRPr="009633D4">
        <w:rPr>
          <w:b/>
          <w:spacing w:val="37"/>
          <w:sz w:val="18"/>
          <w:szCs w:val="18"/>
        </w:rPr>
        <w:t xml:space="preserve"> </w:t>
      </w:r>
      <w:r w:rsidRPr="009633D4">
        <w:rPr>
          <w:b/>
          <w:spacing w:val="-1"/>
          <w:sz w:val="18"/>
          <w:szCs w:val="18"/>
        </w:rPr>
        <w:t xml:space="preserve">administrarea </w:t>
      </w:r>
      <w:r w:rsidRPr="009633D4">
        <w:rPr>
          <w:b/>
          <w:sz w:val="18"/>
          <w:szCs w:val="18"/>
        </w:rPr>
        <w:t xml:space="preserve">Ministerului </w:t>
      </w:r>
      <w:r w:rsidRPr="009633D4">
        <w:rPr>
          <w:b/>
          <w:spacing w:val="-1"/>
          <w:sz w:val="18"/>
          <w:szCs w:val="18"/>
        </w:rPr>
        <w:t xml:space="preserve">Educației </w:t>
      </w:r>
      <w:r w:rsidRPr="009633D4">
        <w:rPr>
          <w:b/>
          <w:sz w:val="18"/>
          <w:szCs w:val="18"/>
        </w:rPr>
        <w:t xml:space="preserve">și </w:t>
      </w:r>
      <w:r w:rsidRPr="009633D4">
        <w:rPr>
          <w:b/>
          <w:spacing w:val="-1"/>
          <w:sz w:val="18"/>
          <w:szCs w:val="18"/>
        </w:rPr>
        <w:t>Cercetării,</w:t>
      </w:r>
      <w:r w:rsidRPr="009633D4">
        <w:rPr>
          <w:b/>
          <w:sz w:val="18"/>
          <w:szCs w:val="18"/>
        </w:rPr>
        <w:t xml:space="preserve"> în proprietatea publică a raionului Ungheni</w:t>
      </w:r>
    </w:p>
    <w:tbl>
      <w:tblPr>
        <w:tblW w:w="10336" w:type="dxa"/>
        <w:tblInd w:w="-730" w:type="dxa"/>
        <w:shd w:val="clear" w:color="auto" w:fill="FFFFFF" w:themeFill="background1"/>
        <w:tblLayout w:type="fixed"/>
        <w:tblLook w:val="04A0"/>
      </w:tblPr>
      <w:tblGrid>
        <w:gridCol w:w="554"/>
        <w:gridCol w:w="1418"/>
        <w:gridCol w:w="2694"/>
        <w:gridCol w:w="2409"/>
        <w:gridCol w:w="851"/>
        <w:gridCol w:w="1276"/>
        <w:gridCol w:w="1134"/>
      </w:tblGrid>
      <w:tr w:rsidR="009633D4" w:rsidRPr="009633D4" w:rsidTr="009633D4">
        <w:trPr>
          <w:trHeight w:val="20"/>
          <w:tblHeader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9633D4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Nr. d/o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9633D4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Localitatea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7F4E0B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Instituția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F4E0B">
              <w:rPr>
                <w:b/>
                <w:bCs/>
                <w:color w:val="000000"/>
                <w:sz w:val="18"/>
                <w:szCs w:val="18"/>
                <w:lang w:val="en-US"/>
              </w:rPr>
              <w:t>preuniversitară</w:t>
            </w:r>
            <w:proofErr w:type="spellEnd"/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7F4E0B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9633D4">
              <w:rPr>
                <w:b/>
                <w:bCs/>
                <w:color w:val="000000"/>
                <w:sz w:val="18"/>
                <w:szCs w:val="18"/>
              </w:rPr>
              <w:t>bunu</w:t>
            </w:r>
            <w:r w:rsidR="007F4E0B">
              <w:rPr>
                <w:b/>
                <w:bCs/>
                <w:color w:val="000000"/>
                <w:sz w:val="18"/>
                <w:szCs w:val="18"/>
              </w:rPr>
              <w:t>lui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9633D4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Număr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unități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7F4E0B" w:rsidP="009633D4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Preț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unitar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,</w:t>
            </w:r>
            <w:r w:rsidR="009633D4"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lei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633D4" w:rsidRPr="009633D4" w:rsidRDefault="009633D4" w:rsidP="009633D4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9633D4">
              <w:rPr>
                <w:b/>
                <w:bCs/>
                <w:color w:val="000000"/>
                <w:sz w:val="18"/>
                <w:szCs w:val="18"/>
                <w:lang w:val="en-US"/>
              </w:rPr>
              <w:t>. lei</w:t>
            </w:r>
          </w:p>
        </w:tc>
      </w:tr>
      <w:tr w:rsidR="009633D4" w:rsidRPr="009633D4" w:rsidTr="00963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" w:type="dxa"/>
            <w:shd w:val="clear" w:color="auto" w:fill="FFFFFF" w:themeFill="background1"/>
            <w:vAlign w:val="center"/>
          </w:tcPr>
          <w:p w:rsidR="009633D4" w:rsidRPr="009633D4" w:rsidRDefault="009633D4" w:rsidP="009633D4">
            <w:pPr>
              <w:pStyle w:val="Listparagraf"/>
              <w:numPr>
                <w:ilvl w:val="0"/>
                <w:numId w:val="3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9633D4" w:rsidRPr="009633D4" w:rsidRDefault="009633D4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Manoilesti</w:t>
            </w:r>
            <w:proofErr w:type="spellEnd"/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:rsidR="009633D4" w:rsidRPr="009633D4" w:rsidRDefault="009633D4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633D4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33D4">
              <w:rPr>
                <w:color w:val="000000"/>
                <w:sz w:val="18"/>
                <w:szCs w:val="18"/>
                <w:lang w:val="en-US"/>
              </w:rPr>
              <w:t>Mănoileşti</w:t>
            </w:r>
            <w:proofErr w:type="spellEnd"/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9633D4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Tabla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display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interactiv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9633D4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633D4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58273,49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633D4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58273,49</w:t>
            </w:r>
          </w:p>
        </w:tc>
      </w:tr>
      <w:tr w:rsidR="00076FD9" w:rsidRPr="009633D4" w:rsidTr="00963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" w:type="dxa"/>
            <w:shd w:val="clear" w:color="auto" w:fill="FFFFFF" w:themeFill="background1"/>
            <w:vAlign w:val="center"/>
          </w:tcPr>
          <w:p w:rsidR="00076FD9" w:rsidRPr="00076FD9" w:rsidRDefault="00076FD9" w:rsidP="00076FD9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Laptop Dell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Vostro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076FD9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11654,66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11654,66</w:t>
            </w:r>
          </w:p>
        </w:tc>
      </w:tr>
      <w:tr w:rsidR="00076FD9" w:rsidRPr="009633D4" w:rsidTr="00963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" w:type="dxa"/>
            <w:shd w:val="clear" w:color="auto" w:fill="FFFFFF" w:themeFill="background1"/>
            <w:vAlign w:val="center"/>
          </w:tcPr>
          <w:p w:rsidR="00076FD9" w:rsidRPr="009633D4" w:rsidRDefault="00076FD9" w:rsidP="009633D4">
            <w:pPr>
              <w:pStyle w:val="Listparagraf"/>
              <w:numPr>
                <w:ilvl w:val="0"/>
                <w:numId w:val="3"/>
              </w:num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076FD9" w:rsidRPr="00076FD9" w:rsidRDefault="00076FD9" w:rsidP="00B407DD">
            <w:pPr>
              <w:contextualSpacing/>
              <w:rPr>
                <w:color w:val="000000"/>
                <w:sz w:val="18"/>
                <w:szCs w:val="18"/>
                <w:lang w:val="ro-MO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s. Te</w:t>
            </w:r>
            <w:proofErr w:type="spellStart"/>
            <w:r>
              <w:rPr>
                <w:color w:val="000000"/>
                <w:sz w:val="18"/>
                <w:szCs w:val="18"/>
                <w:lang w:val="ro-MO"/>
              </w:rPr>
              <w:t>șcureni</w:t>
            </w:r>
            <w:proofErr w:type="spellEnd"/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Teșcureni</w:t>
            </w:r>
            <w:proofErr w:type="spellEnd"/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Tabla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display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interactiv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58273,49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58273,49</w:t>
            </w:r>
          </w:p>
        </w:tc>
      </w:tr>
      <w:tr w:rsidR="00076FD9" w:rsidRPr="009633D4" w:rsidTr="00963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" w:type="dxa"/>
            <w:shd w:val="clear" w:color="auto" w:fill="FFFFFF" w:themeFill="background1"/>
            <w:vAlign w:val="center"/>
          </w:tcPr>
          <w:p w:rsidR="00076FD9" w:rsidRPr="00076FD9" w:rsidRDefault="00076FD9" w:rsidP="00076FD9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Laptop Dell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Vostro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11654,66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76FD9" w:rsidRPr="009633D4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11654,66</w:t>
            </w:r>
          </w:p>
        </w:tc>
      </w:tr>
      <w:tr w:rsidR="00076FD9" w:rsidRPr="009633D4" w:rsidTr="00963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" w:type="dxa"/>
            <w:shd w:val="clear" w:color="auto" w:fill="FFFFFF" w:themeFill="background1"/>
            <w:vAlign w:val="center"/>
          </w:tcPr>
          <w:p w:rsidR="00076FD9" w:rsidRPr="009633D4" w:rsidRDefault="00076FD9" w:rsidP="00076FD9">
            <w:pPr>
              <w:pStyle w:val="Listparagraf"/>
              <w:ind w:left="36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:rsidR="00076FD9" w:rsidRPr="009633D4" w:rsidRDefault="00076FD9" w:rsidP="00B407D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076FD9" w:rsidRDefault="00076FD9" w:rsidP="00DC58BD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076FD9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76FD9" w:rsidRDefault="00076FD9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76FD9" w:rsidRDefault="00656BE2" w:rsidP="00DC58BD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139856</w:t>
            </w:r>
            <w:r w:rsidR="00076FD9">
              <w:rPr>
                <w:color w:val="000000"/>
                <w:sz w:val="18"/>
                <w:szCs w:val="18"/>
                <w:lang w:val="en-US"/>
              </w:rPr>
              <w:t>,30</w:t>
            </w:r>
          </w:p>
        </w:tc>
      </w:tr>
    </w:tbl>
    <w:p w:rsidR="009633D4" w:rsidRPr="009633D4" w:rsidRDefault="009633D4" w:rsidP="009633D4">
      <w:pPr>
        <w:rPr>
          <w:sz w:val="18"/>
          <w:szCs w:val="18"/>
        </w:rPr>
      </w:pPr>
    </w:p>
    <w:p w:rsidR="00A02606" w:rsidRPr="009633D4" w:rsidRDefault="00A02606" w:rsidP="00A02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55"/>
        </w:tabs>
        <w:jc w:val="both"/>
        <w:rPr>
          <w:rFonts w:eastAsia="Calibri"/>
          <w:i/>
          <w:sz w:val="18"/>
          <w:szCs w:val="18"/>
        </w:rPr>
      </w:pPr>
    </w:p>
    <w:p w:rsidR="00D707BA" w:rsidRPr="009633D4" w:rsidRDefault="00BB3125" w:rsidP="009633D4">
      <w:pPr>
        <w:jc w:val="center"/>
        <w:rPr>
          <w:sz w:val="18"/>
          <w:szCs w:val="18"/>
          <w:lang w:val="en-US"/>
        </w:rPr>
      </w:pPr>
      <w:proofErr w:type="spellStart"/>
      <w:r w:rsidRPr="009633D4">
        <w:rPr>
          <w:sz w:val="18"/>
          <w:szCs w:val="18"/>
          <w:lang w:val="en-US"/>
        </w:rPr>
        <w:t>Secretar</w:t>
      </w:r>
      <w:proofErr w:type="spellEnd"/>
      <w:r w:rsidRPr="009633D4">
        <w:rPr>
          <w:sz w:val="18"/>
          <w:szCs w:val="18"/>
          <w:lang w:val="en-US"/>
        </w:rPr>
        <w:t xml:space="preserve">,                          </w:t>
      </w:r>
      <w:proofErr w:type="spellStart"/>
      <w:r w:rsidRPr="009633D4">
        <w:rPr>
          <w:sz w:val="18"/>
          <w:szCs w:val="18"/>
          <w:lang w:val="en-US"/>
        </w:rPr>
        <w:t>Rodica</w:t>
      </w:r>
      <w:proofErr w:type="spellEnd"/>
      <w:r w:rsidRPr="009633D4">
        <w:rPr>
          <w:sz w:val="18"/>
          <w:szCs w:val="18"/>
          <w:lang w:val="en-US"/>
        </w:rPr>
        <w:t xml:space="preserve"> </w:t>
      </w:r>
      <w:proofErr w:type="spellStart"/>
      <w:r w:rsidRPr="009633D4">
        <w:rPr>
          <w:sz w:val="18"/>
          <w:szCs w:val="18"/>
          <w:lang w:val="en-US"/>
        </w:rPr>
        <w:t>Lițcan</w:t>
      </w:r>
      <w:proofErr w:type="spellEnd"/>
    </w:p>
    <w:sectPr w:rsidR="00D707BA" w:rsidRPr="009633D4" w:rsidSect="009633D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A1544"/>
    <w:multiLevelType w:val="hybridMultilevel"/>
    <w:tmpl w:val="1772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>
    <w:nsid w:val="6B100FED"/>
    <w:multiLevelType w:val="hybridMultilevel"/>
    <w:tmpl w:val="FAB48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56652"/>
    <w:rsid w:val="0000371D"/>
    <w:rsid w:val="0005016D"/>
    <w:rsid w:val="0006575D"/>
    <w:rsid w:val="00076FD9"/>
    <w:rsid w:val="00080D7C"/>
    <w:rsid w:val="0008209E"/>
    <w:rsid w:val="001925EC"/>
    <w:rsid w:val="001A0FF9"/>
    <w:rsid w:val="001A6568"/>
    <w:rsid w:val="001D1042"/>
    <w:rsid w:val="00210CBE"/>
    <w:rsid w:val="0023099F"/>
    <w:rsid w:val="00251A17"/>
    <w:rsid w:val="00256652"/>
    <w:rsid w:val="00296138"/>
    <w:rsid w:val="002B6B33"/>
    <w:rsid w:val="003204C2"/>
    <w:rsid w:val="0032572D"/>
    <w:rsid w:val="0032580E"/>
    <w:rsid w:val="003328DE"/>
    <w:rsid w:val="00335DEF"/>
    <w:rsid w:val="00341E56"/>
    <w:rsid w:val="00343A17"/>
    <w:rsid w:val="003A24AA"/>
    <w:rsid w:val="003A4A87"/>
    <w:rsid w:val="003F3D24"/>
    <w:rsid w:val="00410CA0"/>
    <w:rsid w:val="00461FF2"/>
    <w:rsid w:val="004819DD"/>
    <w:rsid w:val="004E307C"/>
    <w:rsid w:val="0051316F"/>
    <w:rsid w:val="005340B9"/>
    <w:rsid w:val="00571E04"/>
    <w:rsid w:val="00592650"/>
    <w:rsid w:val="005D6DA8"/>
    <w:rsid w:val="005E1F1C"/>
    <w:rsid w:val="005E5B30"/>
    <w:rsid w:val="0060737C"/>
    <w:rsid w:val="00656BE2"/>
    <w:rsid w:val="006863E1"/>
    <w:rsid w:val="006D3BAE"/>
    <w:rsid w:val="006F400A"/>
    <w:rsid w:val="007546D6"/>
    <w:rsid w:val="007A2A88"/>
    <w:rsid w:val="007F4E0B"/>
    <w:rsid w:val="00813362"/>
    <w:rsid w:val="00820B85"/>
    <w:rsid w:val="00862BA6"/>
    <w:rsid w:val="00872803"/>
    <w:rsid w:val="0087586F"/>
    <w:rsid w:val="00893493"/>
    <w:rsid w:val="008B36E4"/>
    <w:rsid w:val="008C55FD"/>
    <w:rsid w:val="009522EE"/>
    <w:rsid w:val="009633D4"/>
    <w:rsid w:val="00963D1D"/>
    <w:rsid w:val="009827EE"/>
    <w:rsid w:val="00987EE7"/>
    <w:rsid w:val="00A02606"/>
    <w:rsid w:val="00A1563C"/>
    <w:rsid w:val="00A2558A"/>
    <w:rsid w:val="00A406B2"/>
    <w:rsid w:val="00A46606"/>
    <w:rsid w:val="00A84E2E"/>
    <w:rsid w:val="00A907A8"/>
    <w:rsid w:val="00AD4A5A"/>
    <w:rsid w:val="00AE1B1B"/>
    <w:rsid w:val="00AF5186"/>
    <w:rsid w:val="00B11C3B"/>
    <w:rsid w:val="00BB3125"/>
    <w:rsid w:val="00C6093F"/>
    <w:rsid w:val="00C77022"/>
    <w:rsid w:val="00C801BF"/>
    <w:rsid w:val="00CA7127"/>
    <w:rsid w:val="00CB2A5B"/>
    <w:rsid w:val="00CC11CF"/>
    <w:rsid w:val="00CD6521"/>
    <w:rsid w:val="00D47A54"/>
    <w:rsid w:val="00D707BA"/>
    <w:rsid w:val="00D83EAB"/>
    <w:rsid w:val="00DC10D8"/>
    <w:rsid w:val="00DF4A83"/>
    <w:rsid w:val="00E208F7"/>
    <w:rsid w:val="00E64C74"/>
    <w:rsid w:val="00E8337F"/>
    <w:rsid w:val="00E970D1"/>
    <w:rsid w:val="00EA5925"/>
    <w:rsid w:val="00EA7B69"/>
    <w:rsid w:val="00EB22F8"/>
    <w:rsid w:val="00ED676D"/>
    <w:rsid w:val="00ED7FA3"/>
    <w:rsid w:val="00F626EC"/>
    <w:rsid w:val="00F760E9"/>
    <w:rsid w:val="00FB1FBC"/>
    <w:rsid w:val="00FD31DE"/>
    <w:rsid w:val="00FE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080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A45EA-9ED1-446B-A5A3-00807B52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2021-07-20T06:54:00Z</cp:lastPrinted>
  <dcterms:created xsi:type="dcterms:W3CDTF">2024-03-01T07:04:00Z</dcterms:created>
  <dcterms:modified xsi:type="dcterms:W3CDTF">2024-03-01T07:04:00Z</dcterms:modified>
</cp:coreProperties>
</file>